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584" w:rsidRPr="001A2584" w:rsidRDefault="001A2584" w:rsidP="001A2584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1A2584" w:rsidRPr="001A2584" w:rsidRDefault="001A2584" w:rsidP="001A2584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A2584" w:rsidRPr="001A2584" w:rsidRDefault="001A2584" w:rsidP="001A2584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1A2584" w:rsidRPr="001A2584" w:rsidRDefault="001A2584" w:rsidP="001A2584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A2584" w:rsidRPr="001A2584" w:rsidRDefault="001A2584" w:rsidP="001A2584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1A2584" w:rsidRPr="001A2584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1A2584" w:rsidRPr="001A2584" w:rsidRDefault="001A2584" w:rsidP="001A2584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</w:pPr>
            <w:r w:rsidRPr="001A2584"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1A2584" w:rsidRPr="001A2584" w:rsidRDefault="001A2584" w:rsidP="001A2584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</w:pPr>
            <w:r w:rsidRPr="001A2584">
              <w:rPr>
                <w:rFonts w:ascii="Calibri Light" w:eastAsia="Times New Roman" w:hAnsi="Calibri Light" w:cs="Times New Roman"/>
                <w:sz w:val="20"/>
                <w:szCs w:val="20"/>
                <w:lang w:val="en-US"/>
              </w:rPr>
              <w:t>Fasken Martineau DuMoulin LLP</w:t>
            </w:r>
          </w:p>
        </w:tc>
      </w:tr>
    </w:tbl>
    <w:p w:rsidR="001A2584" w:rsidRPr="001A2584" w:rsidRDefault="001A2584" w:rsidP="001A2584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1A2584" w:rsidRPr="001A2584" w:rsidRDefault="001A2584" w:rsidP="001A2584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1A2584"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  <w:t>Merger/Name</w:t>
      </w:r>
    </w:p>
    <w:p w:rsidR="001A2584" w:rsidRPr="001A2584" w:rsidRDefault="001A2584" w:rsidP="001A2584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1A2584"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  <w:t>Change Date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</w:r>
      <w:r w:rsidRPr="001A2584">
        <w:rPr>
          <w:rFonts w:ascii="Calibri Light" w:eastAsia="Times New Roman" w:hAnsi="Calibri Light" w:cs="Times New Roman"/>
          <w:sz w:val="20"/>
          <w:szCs w:val="20"/>
          <w:u w:val="single"/>
          <w:lang w:val="en-US"/>
        </w:rPr>
        <w:t>Notes</w:t>
      </w:r>
    </w:p>
    <w:p w:rsidR="001A2584" w:rsidRPr="001A2584" w:rsidRDefault="001A2584" w:rsidP="001A2584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Kitamura Green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July 1, 1987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Campbell, Godfrey &amp; Lewtas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November 1, 1989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 but not dissolved)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Fasken &amp; Calvin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November 1, 1989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(inactive but not dissolved)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Fasken Campbell Godfrey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2000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(still active)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Martineau Walker (“MW”)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2000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(still active)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Russell &amp; DuMoulin (“RD”)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2000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(still active)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Gagnon Lafleur &amp; Associates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1981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MW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Lazarovitz, Cannon, Lemelin, Rourke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1983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MW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Lyall McKercher Hanna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1989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RD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Day &amp; Co.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November 1, 2002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PharmaLaw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October 1, 2004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Stringer and Saul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January 1, 1978 *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Stringer Saul &amp; Justice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1979 *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Stringer Saul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May 1, 1985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Walker Martineau Stringer Saul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Sept. 1, 1990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Stringer Saul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May 1, 1991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Stringer Saul LLP (“SS”)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2007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FMSS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Johnston &amp; Buchan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1992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J&amp;B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Johnston, Buchan &amp; Dalfen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1994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J&amp;B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Johnston &amp; Buchan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2001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J&amp;B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Johnston &amp; Buchan LLP (“J&amp;B”)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April 1, 2007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FMD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Fasken Martineau Stringer Saul LLP (“FMSS”)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11, 2008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Name changed to Fasken Martineau LLP (name to be used in UK only)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Gravel, Leclerc &amp; Associes S.E.L.A.S. (GL)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1, 2009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Name changed to Fasken Martineau S.E.LA.S.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Gravel, Leclerc &amp; Partners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1, 2009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GL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right="-36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Bell Dewar and Hall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September 1, 2009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Predecessor firm of Bell Dewar Inc.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Bell Dewar Inc.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February 1, 2013</w:t>
      </w: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Bell Dewar Inc. (a South</w:t>
      </w:r>
    </w:p>
    <w:p w:rsidR="001A2584" w:rsidRPr="001A2584" w:rsidRDefault="001A2584" w:rsidP="001A2584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African Corporation) and any and all predecessors</w:t>
      </w:r>
    </w:p>
    <w:p w:rsidR="001A2584" w:rsidRPr="001A2584" w:rsidRDefault="001A2584" w:rsidP="001A2584">
      <w:pPr>
        <w:numPr>
          <w:ilvl w:val="0"/>
          <w:numId w:val="4"/>
        </w:num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ind w:left="6840" w:hanging="684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Gravel, Leclerc &amp; Grange S.E.P.</w:t>
      </w:r>
    </w:p>
    <w:p w:rsidR="001A2584" w:rsidRPr="001A2584" w:rsidRDefault="001A2584" w:rsidP="001A2584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(a French Partnership)</w:t>
      </w:r>
    </w:p>
    <w:p w:rsidR="001A2584" w:rsidRPr="001A2584" w:rsidRDefault="001A2584" w:rsidP="001A2584">
      <w:pPr>
        <w:tabs>
          <w:tab w:val="left" w:pos="0"/>
          <w:tab w:val="left" w:pos="270"/>
          <w:tab w:val="left" w:pos="4770"/>
          <w:tab w:val="left" w:pos="6840"/>
        </w:tabs>
        <w:spacing w:after="0" w:line="240" w:lineRule="auto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1A2584" w:rsidRPr="001A2584" w:rsidRDefault="001A2584" w:rsidP="001A2584">
      <w:pPr>
        <w:tabs>
          <w:tab w:val="left" w:pos="0"/>
          <w:tab w:val="left" w:pos="270"/>
          <w:tab w:val="left" w:pos="4140"/>
          <w:tab w:val="left" w:pos="621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FMD = Fasken Martineau DuMoulin LLP</w:t>
      </w:r>
    </w:p>
    <w:p w:rsidR="001A2584" w:rsidRPr="001A2584" w:rsidRDefault="001A2584" w:rsidP="001A2584">
      <w:pPr>
        <w:tabs>
          <w:tab w:val="left" w:pos="0"/>
          <w:tab w:val="left" w:pos="270"/>
          <w:tab w:val="left" w:pos="4140"/>
          <w:tab w:val="left" w:pos="621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1A2584">
        <w:rPr>
          <w:rFonts w:ascii="Calibri Light" w:eastAsia="Times New Roman" w:hAnsi="Calibri Light" w:cs="Times New Roman"/>
          <w:sz w:val="20"/>
          <w:szCs w:val="20"/>
          <w:lang w:val="en-US"/>
        </w:rPr>
        <w:t>*  Precise date of name change cannot be verified.</w:t>
      </w:r>
    </w:p>
    <w:p w:rsidR="001A2584" w:rsidRPr="001A2584" w:rsidRDefault="001A2584" w:rsidP="001A2584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1A2584" w:rsidRPr="001A2584" w:rsidRDefault="001A2584" w:rsidP="001A2584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AA299B" w:rsidRPr="001A2584" w:rsidRDefault="001A2584" w:rsidP="001A2584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  <w:sz w:val="20"/>
        </w:rPr>
      </w:pPr>
      <w:r w:rsidRPr="001A2584">
        <w:rPr>
          <w:rFonts w:ascii="Calibri Light" w:hAnsi="Calibri Light"/>
          <w:b w:val="0"/>
          <w:i w:val="0"/>
          <w:sz w:val="20"/>
        </w:rPr>
        <w:t xml:space="preserve">Note: </w:t>
      </w:r>
      <w:r>
        <w:rPr>
          <w:rFonts w:ascii="Calibri Light" w:hAnsi="Calibri Light"/>
          <w:b w:val="0"/>
          <w:i w:val="0"/>
          <w:sz w:val="20"/>
        </w:rPr>
        <w:t xml:space="preserve">   </w:t>
      </w:r>
      <w:r w:rsidRPr="001A2584">
        <w:rPr>
          <w:rFonts w:ascii="Calibri Light" w:hAnsi="Calibri Light"/>
          <w:b w:val="0"/>
          <w:i w:val="0"/>
          <w:sz w:val="20"/>
        </w:rPr>
        <w:t xml:space="preserve">A predecessor firm is one a) which has undergone dissolution; and b) in which more than 50% of the partners </w:t>
      </w:r>
      <w:r w:rsidRPr="001A2584">
        <w:rPr>
          <w:rFonts w:ascii="Calibri Light" w:hAnsi="Calibri Light"/>
          <w:b w:val="0"/>
          <w:i w:val="0"/>
          <w:sz w:val="20"/>
        </w:rPr>
        <w:t xml:space="preserve">       </w:t>
      </w:r>
      <w:r w:rsidRPr="001A2584">
        <w:rPr>
          <w:rFonts w:ascii="Calibri Light" w:hAnsi="Calibri Light"/>
          <w:b w:val="0"/>
          <w:i w:val="0"/>
          <w:sz w:val="20"/>
        </w:rPr>
        <w:t>and employed lawyers became partners and employed lawyers of the Firm.</w:t>
      </w:r>
      <w:bookmarkStart w:id="0" w:name="_GoBack"/>
      <w:bookmarkEnd w:id="0"/>
    </w:p>
    <w:sectPr w:rsidR="00AA299B" w:rsidRPr="001A25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76F3"/>
    <w:rsid w:val="008204FF"/>
    <w:rsid w:val="00940DD3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2016-02-04T19:39:00Z</dcterms:created>
  <dcterms:modified xsi:type="dcterms:W3CDTF">2016-02-04T19:39:00Z</dcterms:modified>
</cp:coreProperties>
</file>